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sz w:val="30"/>
          <w:szCs w:val="30"/>
        </w:rPr>
      </w:pPr>
      <w:r>
        <w:rPr>
          <w:rFonts w:hint="eastAsia"/>
          <w:sz w:val="30"/>
          <w:szCs w:val="30"/>
        </w:rPr>
        <w:t>附件一：</w:t>
      </w:r>
    </w:p>
    <w:p>
      <w:pPr>
        <w:pStyle w:val="15"/>
        <w:jc w:val="center"/>
        <w:rPr>
          <w:rFonts w:ascii="方正小标宋简体" w:eastAsia="方正小标宋简体"/>
          <w:sz w:val="36"/>
          <w:szCs w:val="36"/>
        </w:rPr>
      </w:pPr>
      <w:r>
        <w:rPr>
          <w:rFonts w:hint="eastAsia" w:ascii="方正小标宋简体" w:eastAsia="方正小标宋简体"/>
          <w:sz w:val="36"/>
          <w:szCs w:val="36"/>
        </w:rPr>
        <w:t xml:space="preserve"> 义务兵优待金</w:t>
      </w:r>
    </w:p>
    <w:p>
      <w:pPr>
        <w:pStyle w:val="15"/>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6"/>
        <w:keepNext w:val="0"/>
        <w:keepLines w:val="0"/>
        <w:widowControl/>
        <w:suppressLineNumbers w:val="0"/>
        <w:spacing w:before="0" w:beforeAutospacing="0" w:after="225" w:afterAutospacing="0" w:line="560" w:lineRule="atLeast"/>
        <w:ind w:left="0" w:right="0" w:firstLine="56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一、</w:t>
      </w:r>
      <w:r>
        <w:rPr>
          <w:rFonts w:hint="eastAsia" w:ascii="宋体" w:hAnsi="宋体" w:eastAsia="宋体" w:cs="宋体"/>
          <w:b/>
          <w:bCs/>
          <w:i w:val="0"/>
          <w:iCs w:val="0"/>
          <w:caps w:val="0"/>
          <w:color w:val="000000"/>
          <w:spacing w:val="0"/>
          <w:sz w:val="28"/>
          <w:szCs w:val="28"/>
        </w:rPr>
        <w:t>项目概况</w:t>
      </w:r>
    </w:p>
    <w:p>
      <w:pPr>
        <w:pStyle w:val="6"/>
        <w:keepNext w:val="0"/>
        <w:keepLines w:val="0"/>
        <w:widowControl/>
        <w:suppressLineNumbers w:val="0"/>
        <w:spacing w:before="0" w:beforeAutospacing="0" w:after="225" w:afterAutospacing="0" w:line="60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（一）项目实施情况</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1、项目实施背景</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为加强国防建设，保障兵役工作顺利开展，鼓励适龄公民应征服兵役，2022年禾山街道在党的正确领导下，按照国务院《军人抚恤优待条例》和《福建省＜军人抚恤优待条例＞实施办法》以及厦门市的有关规定对积极应征入伍的义务兵积极开展优抚工作。</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2、主要依据</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（1）《厦门市人民政府关于印发厦门市义务兵家属优待金管理办法的通知》（厦府〔2004〕107号）；</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（2）《湖里区退役军人事务局关于发放2022年度义务兵家庭优待金的通知》（厦湖退役军人局〔2022〕4号）；</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（3）《厦门市退役军人事务局 厦门市财政局关于做好2022年义务兵家属优待金发放工作的通知》(厦退役军人局〔2022〕26号)；</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（4）中国人民解放军福建省厦门警备区动员处厦门市民政局厦门市财政局厦门市人力资源和社会保障局厦门市人民政府国有资产监督管理委员会《关于做好</w:t>
      </w:r>
      <w:r>
        <w:rPr>
          <w:rFonts w:hint="eastAsia" w:ascii="宋体" w:hAnsi="宋体" w:eastAsia="宋体" w:cs="宋体"/>
          <w:i w:val="0"/>
          <w:iCs w:val="0"/>
          <w:caps w:val="0"/>
          <w:color w:val="000000"/>
          <w:spacing w:val="0"/>
          <w:kern w:val="0"/>
          <w:sz w:val="28"/>
          <w:szCs w:val="28"/>
          <w:bdr w:val="none" w:color="1B7BCF" w:sz="0" w:space="0"/>
          <w:lang w:val="en-US" w:eastAsia="zh-CN" w:bidi="ar"/>
        </w:rPr>
        <w:t>进疆地区</w:t>
      </w:r>
      <w:r>
        <w:rPr>
          <w:rFonts w:hint="eastAsia" w:ascii="宋体" w:hAnsi="宋体" w:eastAsia="宋体" w:cs="宋体"/>
          <w:i w:val="0"/>
          <w:iCs w:val="0"/>
          <w:caps w:val="0"/>
          <w:color w:val="000000"/>
          <w:spacing w:val="0"/>
          <w:kern w:val="0"/>
          <w:sz w:val="28"/>
          <w:szCs w:val="28"/>
          <w:lang w:val="en-US" w:eastAsia="zh-CN" w:bidi="ar"/>
        </w:rPr>
        <w:t>兵员优待工作的通知》 (厦征(2018) 18号)。</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3、实施年度</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本项目实施年度为2022年。</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4、实施范围</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本项目经费用于街道辖区内2022年义务兵家庭及应征入伍大学生青年。</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5、实施程序</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纳入年度绩效管理中，根据项目实际情况建立年初预算绩效申报，编制绩效目标。年中进行项目监控。各街道退役军人服务站统计上报本年度应发放义务兵家庭优待金人数，并按上级有关规定半年发放一次。</w:t>
      </w:r>
    </w:p>
    <w:p>
      <w:pPr>
        <w:pStyle w:val="6"/>
        <w:keepNext w:val="0"/>
        <w:keepLines w:val="0"/>
        <w:widowControl/>
        <w:suppressLineNumbers w:val="0"/>
        <w:spacing w:before="0" w:beforeAutospacing="0" w:after="225" w:afterAutospacing="0" w:line="60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（二）财政支出情况</w:t>
      </w:r>
    </w:p>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1、 </w:t>
      </w:r>
      <w:r>
        <w:rPr>
          <w:rFonts w:hint="eastAsia" w:ascii="宋体" w:hAnsi="宋体" w:eastAsia="宋体" w:cs="宋体"/>
          <w:b/>
          <w:bCs/>
          <w:i w:val="0"/>
          <w:iCs w:val="0"/>
          <w:caps w:val="0"/>
          <w:color w:val="000000"/>
          <w:spacing w:val="0"/>
          <w:sz w:val="28"/>
          <w:szCs w:val="28"/>
        </w:rPr>
        <w:t>支出预算情况</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2022年本项目年初预算75.00万元，预算追加26.38万元，总预算101.38万元，实际支出数101.38万元。</w:t>
      </w:r>
    </w:p>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2、 </w:t>
      </w:r>
      <w:r>
        <w:rPr>
          <w:rFonts w:hint="eastAsia" w:ascii="宋体" w:hAnsi="宋体" w:eastAsia="宋体" w:cs="宋体"/>
          <w:b/>
          <w:bCs/>
          <w:i w:val="0"/>
          <w:iCs w:val="0"/>
          <w:caps w:val="0"/>
          <w:color w:val="000000"/>
          <w:spacing w:val="0"/>
          <w:sz w:val="28"/>
          <w:szCs w:val="28"/>
        </w:rPr>
        <w:t>资金使用范围对象</w:t>
      </w:r>
    </w:p>
    <w:p>
      <w:pPr>
        <w:keepNext w:val="0"/>
        <w:keepLines w:val="0"/>
        <w:widowControl/>
        <w:suppressLineNumbers w:val="0"/>
        <w:spacing w:before="0" w:beforeAutospacing="0" w:after="225" w:afterAutospacing="0" w:line="58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本项目资金全部用于发放义务兵家庭优待金及秋季大学生青年应征入伍奖励，共计101.38万元。</w:t>
      </w:r>
    </w:p>
    <w:tbl>
      <w:tblPr>
        <w:tblW w:w="9351"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5807"/>
        <w:gridCol w:w="3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78" w:hRule="atLeast"/>
        </w:trPr>
        <w:tc>
          <w:tcPr>
            <w:tcW w:w="5807" w:type="dxa"/>
            <w:tcBorders>
              <w:top w:val="single" w:color="auto" w:sz="8" w:space="0"/>
              <w:left w:val="single" w:color="auto" w:sz="8" w:space="0"/>
              <w:bottom w:val="single" w:color="auto" w:sz="8" w:space="0"/>
              <w:right w:val="single" w:color="auto" w:sz="8" w:space="0"/>
            </w:tcBorders>
            <w:shd w:val="clear"/>
            <w:noWrap/>
            <w:tcMar>
              <w:top w:w="0" w:type="dxa"/>
              <w:left w:w="108" w:type="dxa"/>
              <w:bottom w:w="0" w:type="dxa"/>
              <w:right w:w="108" w:type="dxa"/>
            </w:tcMar>
            <w:vAlign w:val="center"/>
          </w:tcPr>
          <w:p>
            <w:pPr>
              <w:keepNext w:val="0"/>
              <w:keepLines w:val="0"/>
              <w:widowControl/>
              <w:suppressLineNumbers w:val="0"/>
              <w:spacing w:before="0" w:beforeAutospacing="0" w:after="0" w:afterAutospacing="1" w:line="480" w:lineRule="atLeast"/>
              <w:ind w:left="0" w:right="0"/>
              <w:jc w:val="center"/>
              <w:rPr>
                <w:rFonts w:hint="eastAsia" w:ascii="宋体" w:hAnsi="宋体" w:eastAsia="宋体" w:cs="宋体"/>
                <w:sz w:val="24"/>
                <w:szCs w:val="24"/>
              </w:rPr>
            </w:pPr>
            <w:r>
              <w:rPr>
                <w:rFonts w:hint="eastAsia" w:ascii="宋体" w:hAnsi="宋体" w:eastAsia="宋体" w:cs="宋体"/>
                <w:caps w:val="0"/>
                <w:spacing w:val="0"/>
                <w:kern w:val="0"/>
                <w:sz w:val="28"/>
                <w:szCs w:val="28"/>
                <w:lang w:val="en-US" w:eastAsia="zh-CN" w:bidi="ar"/>
              </w:rPr>
              <w:t>支出明细</w:t>
            </w:r>
          </w:p>
        </w:tc>
        <w:tc>
          <w:tcPr>
            <w:tcW w:w="3544" w:type="dxa"/>
            <w:tcBorders>
              <w:top w:val="single" w:color="auto" w:sz="8" w:space="0"/>
              <w:left w:val="nil"/>
              <w:bottom w:val="single" w:color="auto" w:sz="8" w:space="0"/>
              <w:right w:val="single" w:color="auto" w:sz="8" w:space="0"/>
            </w:tcBorders>
            <w:shd w:val="clear"/>
            <w:noWrap/>
            <w:tcMar>
              <w:top w:w="0" w:type="dxa"/>
              <w:left w:w="108" w:type="dxa"/>
              <w:bottom w:w="0" w:type="dxa"/>
              <w:right w:w="108" w:type="dxa"/>
            </w:tcMar>
            <w:vAlign w:val="center"/>
          </w:tcPr>
          <w:p>
            <w:pPr>
              <w:keepNext w:val="0"/>
              <w:keepLines w:val="0"/>
              <w:widowControl/>
              <w:suppressLineNumbers w:val="0"/>
              <w:spacing w:before="0" w:beforeAutospacing="0" w:after="0" w:afterAutospacing="1" w:line="480" w:lineRule="atLeast"/>
              <w:ind w:left="0" w:right="0"/>
              <w:jc w:val="center"/>
              <w:rPr>
                <w:rFonts w:hint="eastAsia" w:ascii="宋体" w:hAnsi="宋体" w:eastAsia="宋体" w:cs="宋体"/>
                <w:sz w:val="24"/>
                <w:szCs w:val="24"/>
              </w:rPr>
            </w:pPr>
            <w:r>
              <w:rPr>
                <w:rFonts w:hint="eastAsia" w:ascii="宋体" w:hAnsi="宋体" w:eastAsia="宋体" w:cs="宋体"/>
                <w:caps w:val="0"/>
                <w:spacing w:val="0"/>
                <w:kern w:val="0"/>
                <w:sz w:val="28"/>
                <w:szCs w:val="28"/>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78" w:hRule="atLeast"/>
        </w:trPr>
        <w:tc>
          <w:tcPr>
            <w:tcW w:w="5807" w:type="dxa"/>
            <w:tcBorders>
              <w:top w:val="nil"/>
              <w:left w:val="single" w:color="auto" w:sz="8" w:space="0"/>
              <w:bottom w:val="single" w:color="auto" w:sz="8" w:space="0"/>
              <w:right w:val="single" w:color="auto" w:sz="8" w:space="0"/>
            </w:tcBorders>
            <w:shd w:val="clear"/>
            <w:noWrap/>
            <w:tcMar>
              <w:top w:w="0" w:type="dxa"/>
              <w:left w:w="108" w:type="dxa"/>
              <w:bottom w:w="0" w:type="dxa"/>
              <w:right w:w="108" w:type="dxa"/>
            </w:tcMar>
            <w:vAlign w:val="center"/>
          </w:tcPr>
          <w:p>
            <w:pPr>
              <w:keepNext w:val="0"/>
              <w:keepLines w:val="0"/>
              <w:widowControl/>
              <w:suppressLineNumbers w:val="0"/>
              <w:spacing w:before="0" w:beforeAutospacing="0" w:after="0" w:afterAutospacing="1" w:line="4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8"/>
                <w:szCs w:val="28"/>
                <w:lang w:val="en-US" w:eastAsia="zh-CN" w:bidi="ar"/>
              </w:rPr>
              <w:t>支付2022年上半年义务兵家属优待金</w:t>
            </w:r>
          </w:p>
        </w:tc>
        <w:tc>
          <w:tcPr>
            <w:tcW w:w="3544" w:type="dxa"/>
            <w:tcBorders>
              <w:top w:val="nil"/>
              <w:left w:val="nil"/>
              <w:bottom w:val="single" w:color="auto" w:sz="8" w:space="0"/>
              <w:right w:val="single" w:color="auto" w:sz="8" w:space="0"/>
            </w:tcBorders>
            <w:shd w:val="clear"/>
            <w:noWrap/>
            <w:tcMar>
              <w:top w:w="0" w:type="dxa"/>
              <w:left w:w="108" w:type="dxa"/>
              <w:bottom w:w="0" w:type="dxa"/>
              <w:right w:w="108" w:type="dxa"/>
            </w:tcMar>
            <w:vAlign w:val="center"/>
          </w:tcPr>
          <w:p>
            <w:pPr>
              <w:keepNext w:val="0"/>
              <w:keepLines w:val="0"/>
              <w:widowControl/>
              <w:suppressLineNumbers w:val="0"/>
              <w:spacing w:before="0" w:beforeAutospacing="0" w:after="0" w:afterAutospacing="1" w:line="4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8"/>
                <w:szCs w:val="28"/>
                <w:lang w:val="en-US" w:eastAsia="zh-CN" w:bidi="ar"/>
              </w:rPr>
              <w:t>31.92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78" w:hRule="atLeast"/>
        </w:trPr>
        <w:tc>
          <w:tcPr>
            <w:tcW w:w="5807" w:type="dxa"/>
            <w:tcBorders>
              <w:top w:val="nil"/>
              <w:left w:val="single" w:color="auto" w:sz="8" w:space="0"/>
              <w:bottom w:val="single" w:color="auto" w:sz="8" w:space="0"/>
              <w:right w:val="single" w:color="auto" w:sz="8" w:space="0"/>
            </w:tcBorders>
            <w:shd w:val="clear"/>
            <w:noWrap/>
            <w:tcMar>
              <w:top w:w="0" w:type="dxa"/>
              <w:left w:w="108" w:type="dxa"/>
              <w:bottom w:w="0" w:type="dxa"/>
              <w:right w:w="108" w:type="dxa"/>
            </w:tcMar>
            <w:vAlign w:val="center"/>
          </w:tcPr>
          <w:p>
            <w:pPr>
              <w:keepNext w:val="0"/>
              <w:keepLines w:val="0"/>
              <w:widowControl/>
              <w:suppressLineNumbers w:val="0"/>
              <w:spacing w:before="0" w:beforeAutospacing="0" w:after="0" w:afterAutospacing="1" w:line="4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8"/>
                <w:szCs w:val="28"/>
                <w:lang w:val="en-US" w:eastAsia="zh-CN" w:bidi="ar"/>
              </w:rPr>
              <w:t>支付2022年下半年义务兵家属优待金</w:t>
            </w:r>
          </w:p>
        </w:tc>
        <w:tc>
          <w:tcPr>
            <w:tcW w:w="3544" w:type="dxa"/>
            <w:tcBorders>
              <w:top w:val="nil"/>
              <w:left w:val="nil"/>
              <w:bottom w:val="single" w:color="auto" w:sz="8" w:space="0"/>
              <w:right w:val="single" w:color="auto" w:sz="8" w:space="0"/>
            </w:tcBorders>
            <w:shd w:val="clear"/>
            <w:noWrap/>
            <w:tcMar>
              <w:top w:w="0" w:type="dxa"/>
              <w:left w:w="108" w:type="dxa"/>
              <w:bottom w:w="0" w:type="dxa"/>
              <w:right w:w="108" w:type="dxa"/>
            </w:tcMar>
            <w:vAlign w:val="center"/>
          </w:tcPr>
          <w:p>
            <w:pPr>
              <w:keepNext w:val="0"/>
              <w:keepLines w:val="0"/>
              <w:widowControl/>
              <w:suppressLineNumbers w:val="0"/>
              <w:spacing w:before="0" w:beforeAutospacing="0" w:after="0" w:afterAutospacing="1" w:line="4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8"/>
                <w:szCs w:val="28"/>
                <w:lang w:val="en-US" w:eastAsia="zh-CN" w:bidi="ar"/>
              </w:rPr>
              <w:t>45.36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78" w:hRule="atLeast"/>
        </w:trPr>
        <w:tc>
          <w:tcPr>
            <w:tcW w:w="5807" w:type="dxa"/>
            <w:tcBorders>
              <w:top w:val="nil"/>
              <w:left w:val="single" w:color="auto" w:sz="8" w:space="0"/>
              <w:bottom w:val="single" w:color="auto" w:sz="8" w:space="0"/>
              <w:right w:val="single" w:color="auto" w:sz="8" w:space="0"/>
            </w:tcBorders>
            <w:shd w:val="clear"/>
            <w:noWrap/>
            <w:tcMar>
              <w:top w:w="0" w:type="dxa"/>
              <w:left w:w="108" w:type="dxa"/>
              <w:bottom w:w="0" w:type="dxa"/>
              <w:right w:w="108" w:type="dxa"/>
            </w:tcMar>
            <w:vAlign w:val="center"/>
          </w:tcPr>
          <w:p>
            <w:pPr>
              <w:keepNext w:val="0"/>
              <w:keepLines w:val="0"/>
              <w:widowControl/>
              <w:suppressLineNumbers w:val="0"/>
              <w:spacing w:before="0" w:beforeAutospacing="0" w:after="0" w:afterAutospacing="1" w:line="480" w:lineRule="atLeast"/>
              <w:ind w:left="0" w:right="0"/>
              <w:jc w:val="left"/>
              <w:rPr>
                <w:rFonts w:hint="eastAsia" w:ascii="宋体" w:hAnsi="宋体" w:eastAsia="宋体" w:cs="宋体"/>
                <w:sz w:val="24"/>
                <w:szCs w:val="24"/>
              </w:rPr>
            </w:pPr>
            <w:r>
              <w:rPr>
                <w:rFonts w:hint="eastAsia" w:ascii="宋体" w:hAnsi="宋体" w:eastAsia="宋体" w:cs="宋体"/>
                <w:caps w:val="0"/>
                <w:spacing w:val="0"/>
                <w:kern w:val="0"/>
                <w:sz w:val="28"/>
                <w:szCs w:val="28"/>
                <w:lang w:val="en-US" w:eastAsia="zh-CN" w:bidi="ar"/>
              </w:rPr>
              <w:t>支付秋季大学生入伍奖励金</w:t>
            </w:r>
          </w:p>
        </w:tc>
        <w:tc>
          <w:tcPr>
            <w:tcW w:w="3544" w:type="dxa"/>
            <w:tcBorders>
              <w:top w:val="nil"/>
              <w:left w:val="nil"/>
              <w:bottom w:val="single" w:color="auto" w:sz="8" w:space="0"/>
              <w:right w:val="single" w:color="auto" w:sz="8" w:space="0"/>
            </w:tcBorders>
            <w:shd w:val="clear"/>
            <w:noWrap/>
            <w:tcMar>
              <w:top w:w="0" w:type="dxa"/>
              <w:left w:w="108" w:type="dxa"/>
              <w:bottom w:w="0" w:type="dxa"/>
              <w:right w:w="108" w:type="dxa"/>
            </w:tcMar>
            <w:vAlign w:val="center"/>
          </w:tcPr>
          <w:p>
            <w:pPr>
              <w:keepNext w:val="0"/>
              <w:keepLines w:val="0"/>
              <w:widowControl/>
              <w:suppressLineNumbers w:val="0"/>
              <w:spacing w:before="0" w:beforeAutospacing="0" w:after="0" w:afterAutospacing="1" w:line="4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8"/>
                <w:szCs w:val="28"/>
                <w:lang w:val="en-US" w:eastAsia="zh-CN" w:bidi="ar"/>
              </w:rPr>
              <w:t>24.10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278" w:hRule="atLeast"/>
        </w:trPr>
        <w:tc>
          <w:tcPr>
            <w:tcW w:w="5807" w:type="dxa"/>
            <w:tcBorders>
              <w:top w:val="nil"/>
              <w:left w:val="single" w:color="auto" w:sz="8" w:space="0"/>
              <w:bottom w:val="single" w:color="auto" w:sz="8" w:space="0"/>
              <w:right w:val="single" w:color="auto" w:sz="8" w:space="0"/>
            </w:tcBorders>
            <w:shd w:val="clear"/>
            <w:noWrap/>
            <w:tcMar>
              <w:top w:w="0" w:type="dxa"/>
              <w:left w:w="108" w:type="dxa"/>
              <w:bottom w:w="0" w:type="dxa"/>
              <w:right w:w="108" w:type="dxa"/>
            </w:tcMar>
            <w:vAlign w:val="center"/>
          </w:tcPr>
          <w:p>
            <w:pPr>
              <w:keepNext w:val="0"/>
              <w:keepLines w:val="0"/>
              <w:widowControl/>
              <w:suppressLineNumbers w:val="0"/>
              <w:spacing w:before="0" w:beforeAutospacing="0" w:after="0" w:afterAutospacing="1" w:line="480" w:lineRule="atLeast"/>
              <w:ind w:left="0" w:right="0"/>
              <w:jc w:val="center"/>
              <w:rPr>
                <w:rFonts w:hint="eastAsia" w:ascii="宋体" w:hAnsi="宋体" w:eastAsia="宋体" w:cs="宋体"/>
                <w:sz w:val="24"/>
                <w:szCs w:val="24"/>
              </w:rPr>
            </w:pPr>
            <w:r>
              <w:rPr>
                <w:rFonts w:hint="eastAsia" w:ascii="宋体" w:hAnsi="宋体" w:eastAsia="宋体" w:cs="宋体"/>
                <w:caps w:val="0"/>
                <w:spacing w:val="0"/>
                <w:kern w:val="0"/>
                <w:sz w:val="28"/>
                <w:szCs w:val="28"/>
                <w:lang w:val="en-US" w:eastAsia="zh-CN" w:bidi="ar"/>
              </w:rPr>
              <w:t>合计</w:t>
            </w:r>
          </w:p>
        </w:tc>
        <w:tc>
          <w:tcPr>
            <w:tcW w:w="3544" w:type="dxa"/>
            <w:tcBorders>
              <w:top w:val="nil"/>
              <w:left w:val="nil"/>
              <w:bottom w:val="single" w:color="auto" w:sz="8" w:space="0"/>
              <w:right w:val="single" w:color="auto" w:sz="8" w:space="0"/>
            </w:tcBorders>
            <w:shd w:val="clear"/>
            <w:noWrap/>
            <w:tcMar>
              <w:top w:w="0" w:type="dxa"/>
              <w:left w:w="108" w:type="dxa"/>
              <w:bottom w:w="0" w:type="dxa"/>
              <w:right w:w="108" w:type="dxa"/>
            </w:tcMar>
            <w:vAlign w:val="center"/>
          </w:tcPr>
          <w:p>
            <w:pPr>
              <w:keepNext w:val="0"/>
              <w:keepLines w:val="0"/>
              <w:widowControl/>
              <w:suppressLineNumbers w:val="0"/>
              <w:spacing w:before="0" w:beforeAutospacing="0" w:after="0" w:afterAutospacing="1" w:line="480" w:lineRule="atLeast"/>
              <w:ind w:left="0" w:right="0"/>
              <w:jc w:val="right"/>
              <w:rPr>
                <w:rFonts w:hint="eastAsia" w:ascii="宋体" w:hAnsi="宋体" w:eastAsia="宋体" w:cs="宋体"/>
                <w:sz w:val="24"/>
                <w:szCs w:val="24"/>
              </w:rPr>
            </w:pPr>
            <w:r>
              <w:rPr>
                <w:rFonts w:hint="eastAsia" w:ascii="宋体" w:hAnsi="宋体" w:eastAsia="宋体" w:cs="宋体"/>
                <w:caps w:val="0"/>
                <w:spacing w:val="0"/>
                <w:kern w:val="0"/>
                <w:sz w:val="28"/>
                <w:szCs w:val="28"/>
                <w:lang w:val="en-US" w:eastAsia="zh-CN" w:bidi="ar"/>
              </w:rPr>
              <w:t>101.38 </w:t>
            </w:r>
          </w:p>
        </w:tc>
      </w:tr>
    </w:tbl>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3、 </w:t>
      </w:r>
      <w:r>
        <w:rPr>
          <w:rFonts w:hint="eastAsia" w:ascii="宋体" w:hAnsi="宋体" w:eastAsia="宋体" w:cs="宋体"/>
          <w:b/>
          <w:bCs/>
          <w:i w:val="0"/>
          <w:iCs w:val="0"/>
          <w:caps w:val="0"/>
          <w:color w:val="000000"/>
          <w:spacing w:val="0"/>
          <w:sz w:val="28"/>
          <w:szCs w:val="28"/>
        </w:rPr>
        <w:t>分配标准、程序</w:t>
      </w:r>
    </w:p>
    <w:p>
      <w:pPr>
        <w:keepNext w:val="0"/>
        <w:keepLines w:val="0"/>
        <w:widowControl/>
        <w:suppressLineNumbers w:val="0"/>
        <w:spacing w:before="0" w:beforeAutospacing="0" w:after="225" w:afterAutospacing="0" w:line="58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（1）根据《湖里区退役军人事务局关于发放 2022 年度义务兵家庭优待金的通知》（厦湖退役军人局〔2022〕4号文件）、《厦门市退役军人事务局 厦门市财政局关于做好 2022 年义务兵家属优待金发放工作的通知》(厦退役军人局〔2022〕26 号)、《厦门市人民政府关于印发厦门市义务兵家属优待金管理办法的通知》(厦府 (2004) 107 号)、《中国人民解放军福建省厦门警备区动员处 厦门市民政局 厦门市财政局 厦门市人力资源和社会保障局 厦门市人民政府国有资产监督管理委员会&lt;关于做好</w:t>
      </w:r>
      <w:r>
        <w:rPr>
          <w:rFonts w:hint="eastAsia" w:ascii="宋体" w:hAnsi="宋体" w:eastAsia="宋体" w:cs="宋体"/>
          <w:i w:val="0"/>
          <w:iCs w:val="0"/>
          <w:caps w:val="0"/>
          <w:color w:val="000000"/>
          <w:spacing w:val="0"/>
          <w:kern w:val="0"/>
          <w:sz w:val="28"/>
          <w:szCs w:val="28"/>
          <w:bdr w:val="none" w:color="1B7BCF" w:sz="0" w:space="0"/>
          <w:lang w:val="en-US" w:eastAsia="zh-CN" w:bidi="ar"/>
        </w:rPr>
        <w:t>进疆地区</w:t>
      </w:r>
      <w:r>
        <w:rPr>
          <w:rFonts w:hint="eastAsia" w:ascii="宋体" w:hAnsi="宋体" w:eastAsia="宋体" w:cs="宋体"/>
          <w:i w:val="0"/>
          <w:iCs w:val="0"/>
          <w:caps w:val="0"/>
          <w:color w:val="000000"/>
          <w:spacing w:val="0"/>
          <w:kern w:val="0"/>
          <w:sz w:val="28"/>
          <w:szCs w:val="28"/>
          <w:lang w:val="en-US" w:eastAsia="zh-CN" w:bidi="ar"/>
        </w:rPr>
        <w:t>兵员优待工作的通知&gt;》(厦征 (2018) 18 号) 等文件精神，（1）、 2022年度城镇和农村义务兵家庭优待金标准统一为33599元/户，六个月为16799.5元/户。（2）、进西藏部队及进新疆高原地区部队服役的，服役期间的优待金，按照不低于当地优待金的3倍发放,计为100797元/户，六个月为 50398.5 元/户；在新疆非高原地区服役的，服役期间的优待金，按照不低于当地优待金的2倍发放,计为67198元/户，六个月为 33599 元/户。</w:t>
      </w:r>
    </w:p>
    <w:p>
      <w:pPr>
        <w:keepNext w:val="0"/>
        <w:keepLines w:val="0"/>
        <w:widowControl/>
        <w:suppressLineNumbers w:val="0"/>
        <w:spacing w:before="0" w:beforeAutospacing="0" w:after="225" w:afterAutospacing="0" w:line="58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（2）、根据《湖里区促进征兵工作实施办法》（厦湖征[2022]1号文件），禾山街道2022年秋季大学生应征入伍青年奖励，其中本科应届毕业生，奖励金37000元/名；大专应届生，奖励金31000元/名。</w:t>
      </w:r>
    </w:p>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4、 </w:t>
      </w:r>
      <w:r>
        <w:rPr>
          <w:rFonts w:hint="eastAsia" w:ascii="宋体" w:hAnsi="宋体" w:eastAsia="宋体" w:cs="宋体"/>
          <w:b/>
          <w:bCs/>
          <w:i w:val="0"/>
          <w:iCs w:val="0"/>
          <w:caps w:val="0"/>
          <w:color w:val="000000"/>
          <w:spacing w:val="0"/>
          <w:sz w:val="28"/>
          <w:szCs w:val="28"/>
        </w:rPr>
        <w:t>资金管控情况</w:t>
      </w:r>
    </w:p>
    <w:p>
      <w:pPr>
        <w:keepNext w:val="0"/>
        <w:keepLines w:val="0"/>
        <w:widowControl/>
        <w:suppressLineNumbers w:val="0"/>
        <w:spacing w:before="0" w:beforeAutospacing="0" w:after="225" w:afterAutospacing="0" w:line="58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本项目资金严格按照《禾山街道财务管理制度》，结合项目实施进度拨付资金，实行财务专账管理，保证专项资金的安全有效使用，按照相关管理办法及文件要求及时、足额发放义务兵家庭优待金。</w:t>
      </w:r>
    </w:p>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5、 </w:t>
      </w:r>
      <w:r>
        <w:rPr>
          <w:rFonts w:hint="eastAsia" w:ascii="宋体" w:hAnsi="宋体" w:eastAsia="宋体" w:cs="宋体"/>
          <w:b/>
          <w:bCs/>
          <w:i w:val="0"/>
          <w:iCs w:val="0"/>
          <w:caps w:val="0"/>
          <w:color w:val="000000"/>
          <w:spacing w:val="0"/>
          <w:sz w:val="28"/>
          <w:szCs w:val="28"/>
        </w:rPr>
        <w:t>支出政策执行</w:t>
      </w:r>
    </w:p>
    <w:p>
      <w:pPr>
        <w:keepNext w:val="0"/>
        <w:keepLines w:val="0"/>
        <w:widowControl/>
        <w:suppressLineNumbers w:val="0"/>
        <w:spacing w:before="0" w:beforeAutospacing="0" w:after="225" w:afterAutospacing="0" w:line="58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本项目严格按照《湖里区退役军人事务局关于发放2022年度义务兵家庭优待金的通知》（厦湖退役军人局〔2022〕4号文件）及《湖里区促进征兵工作实施办法》等政策文件执行。</w:t>
      </w:r>
    </w:p>
    <w:p>
      <w:pPr>
        <w:pStyle w:val="6"/>
        <w:keepNext w:val="0"/>
        <w:keepLines w:val="0"/>
        <w:widowControl/>
        <w:suppressLineNumbers w:val="0"/>
        <w:spacing w:before="0" w:beforeAutospacing="0" w:after="225" w:afterAutospacing="0" w:line="560" w:lineRule="atLeast"/>
        <w:ind w:left="1150" w:right="0" w:hanging="51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8"/>
          <w:szCs w:val="28"/>
        </w:rPr>
        <w:t>6、 </w:t>
      </w:r>
      <w:r>
        <w:rPr>
          <w:rFonts w:hint="eastAsia" w:ascii="宋体" w:hAnsi="宋体" w:eastAsia="宋体" w:cs="宋体"/>
          <w:b/>
          <w:bCs/>
          <w:i w:val="0"/>
          <w:iCs w:val="0"/>
          <w:caps w:val="0"/>
          <w:color w:val="000000"/>
          <w:spacing w:val="0"/>
          <w:sz w:val="28"/>
          <w:szCs w:val="28"/>
        </w:rPr>
        <w:t>支出分担体制</w:t>
      </w:r>
    </w:p>
    <w:p>
      <w:pPr>
        <w:keepNext w:val="0"/>
        <w:keepLines w:val="0"/>
        <w:widowControl/>
        <w:suppressLineNumbers w:val="0"/>
        <w:spacing w:before="0" w:beforeAutospacing="0" w:after="225" w:afterAutospacing="0" w:line="58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本项目资金由区财政承担。</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二、绩效分析</w:t>
      </w:r>
    </w:p>
    <w:p>
      <w:pPr>
        <w:pStyle w:val="6"/>
        <w:keepNext w:val="0"/>
        <w:keepLines w:val="0"/>
        <w:widowControl/>
        <w:suppressLineNumbers w:val="0"/>
        <w:spacing w:before="0" w:beforeAutospacing="0" w:after="225" w:afterAutospacing="0" w:line="60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（一）项目效益分析</w:t>
      </w:r>
    </w:p>
    <w:p>
      <w:pPr>
        <w:keepNext w:val="0"/>
        <w:keepLines w:val="0"/>
        <w:widowControl/>
        <w:suppressLineNumbers w:val="0"/>
        <w:spacing w:before="0" w:beforeAutospacing="0" w:after="225" w:afterAutospacing="0" w:line="560" w:lineRule="atLeast"/>
        <w:ind w:left="0" w:right="0" w:firstLine="63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1、任务完成情况及绩效目标实现情况</w:t>
      </w:r>
    </w:p>
    <w:p>
      <w:pPr>
        <w:keepNext w:val="0"/>
        <w:keepLines w:val="0"/>
        <w:widowControl/>
        <w:suppressLineNumbers w:val="0"/>
        <w:spacing w:before="0" w:beforeAutospacing="0" w:after="225" w:afterAutospacing="0" w:line="58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截至2022年12月，本项目共支出101.38万元，支出率100.00%，其中发放2022年义务兵家属优待金77.27万元，秋季大学生应征入伍奖励金24.10万元，下拨及时率100.00%</w:t>
      </w:r>
    </w:p>
    <w:p>
      <w:pPr>
        <w:keepNext w:val="0"/>
        <w:keepLines w:val="0"/>
        <w:widowControl/>
        <w:suppressLineNumbers w:val="0"/>
        <w:spacing w:before="0" w:beforeAutospacing="0" w:after="225" w:afterAutospacing="0" w:line="560" w:lineRule="atLeast"/>
        <w:ind w:left="0" w:right="0" w:firstLine="63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2、项目实施带动的经济效益、社会效益、可持续效益</w:t>
      </w:r>
    </w:p>
    <w:p>
      <w:pPr>
        <w:keepNext w:val="0"/>
        <w:keepLines w:val="0"/>
        <w:widowControl/>
        <w:suppressLineNumbers w:val="0"/>
        <w:spacing w:before="0" w:beforeAutospacing="0" w:after="225" w:afterAutospacing="0" w:line="5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及时、足额发放义务兵家庭优待金，确保义务兵家庭优待政策落实，改善义务兵家庭生活质量，维护义务兵家庭权益，激励适龄青年参军保卫祖国，促进国防和军队建设。</w:t>
      </w:r>
    </w:p>
    <w:p>
      <w:pPr>
        <w:keepNext w:val="0"/>
        <w:keepLines w:val="0"/>
        <w:widowControl/>
        <w:suppressLineNumbers w:val="0"/>
        <w:spacing w:before="0" w:beforeAutospacing="0" w:after="225" w:afterAutospacing="0" w:line="560" w:lineRule="atLeast"/>
        <w:ind w:left="0" w:right="0" w:firstLine="63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3、项目实施带动的公众满意度</w:t>
      </w:r>
    </w:p>
    <w:p>
      <w:pPr>
        <w:keepNext w:val="0"/>
        <w:keepLines w:val="0"/>
        <w:widowControl/>
        <w:suppressLineNumbers w:val="0"/>
        <w:spacing w:before="0" w:beforeAutospacing="0" w:after="225" w:afterAutospacing="0" w:line="5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受益家庭及人员满意度≧95。</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（二）支出效益分析。</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1、支出进度</w:t>
      </w:r>
    </w:p>
    <w:p>
      <w:pPr>
        <w:keepNext w:val="0"/>
        <w:keepLines w:val="0"/>
        <w:widowControl/>
        <w:suppressLineNumbers w:val="0"/>
        <w:spacing w:before="0" w:beforeAutospacing="0" w:after="225" w:afterAutospacing="0" w:line="5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2022年本项目年初预算75.00万元，预算追加26.38万元，总预算101.38万元，实际授权支付数101.38万元，支出进度达到100.00%。</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2、支出效率</w:t>
      </w:r>
    </w:p>
    <w:p>
      <w:pPr>
        <w:keepNext w:val="0"/>
        <w:keepLines w:val="0"/>
        <w:widowControl/>
        <w:suppressLineNumbers w:val="0"/>
        <w:spacing w:before="0" w:beforeAutospacing="0" w:after="225" w:afterAutospacing="0" w:line="5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截至2022年12月，本项目已支出101.38万元，支出效率良好，经费下拨及时率100%，资金拨付到位率100%。</w:t>
      </w:r>
    </w:p>
    <w:p>
      <w:pPr>
        <w:keepNext w:val="0"/>
        <w:keepLines w:val="0"/>
        <w:widowControl/>
        <w:suppressLineNumbers w:val="0"/>
        <w:spacing w:before="0" w:beforeAutospacing="0" w:after="225" w:afterAutospacing="0" w:line="440" w:lineRule="atLeast"/>
        <w:ind w:left="0" w:right="0" w:firstLine="56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3、支出规范</w:t>
      </w:r>
    </w:p>
    <w:p>
      <w:pPr>
        <w:keepNext w:val="0"/>
        <w:keepLines w:val="0"/>
        <w:widowControl/>
        <w:suppressLineNumbers w:val="0"/>
        <w:spacing w:before="0" w:beforeAutospacing="0" w:after="225" w:afterAutospacing="0" w:line="5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根据2022年我街道义务兵优待金项目设定的绩效目标，项目完成情况良好，严格按照文件要求以及财务管理制度拨付资金，项目经费专款专用，及时下拨工作经费，保障项目顺利开展。</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4、成本控制分析及效益情况</w:t>
      </w:r>
    </w:p>
    <w:p>
      <w:pPr>
        <w:keepNext w:val="0"/>
        <w:keepLines w:val="0"/>
        <w:widowControl/>
        <w:suppressLineNumbers w:val="0"/>
        <w:spacing w:before="0" w:beforeAutospacing="0" w:after="225" w:afterAutospacing="0" w:line="5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成本控制得当，资金及时到位。在项目实施过程中按照优抚名单及入伍奖励金名单及时、足额下拨经费，为辖区内义务兵家庭及时、足额发放义务兵家庭优待金，确保义务兵家庭优待政策落实，义务兵安心部队服役，“拥军优属、拥政爱民”，维护义务兵家庭的合法权益，促进国防和军队建设，保持社会稳定。</w:t>
      </w:r>
    </w:p>
    <w:p>
      <w:pPr>
        <w:keepNext w:val="0"/>
        <w:keepLines w:val="0"/>
        <w:widowControl/>
        <w:suppressLineNumbers w:val="0"/>
        <w:spacing w:before="0" w:beforeAutospacing="0" w:after="225" w:afterAutospacing="0" w:line="440" w:lineRule="atLeast"/>
        <w:ind w:left="0" w:right="0" w:firstLine="56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（三）评价分值和等级</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根据上述分析，确定本项目绩效评价分值99分，等级为优。</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三、存在问题</w:t>
      </w:r>
    </w:p>
    <w:p>
      <w:pPr>
        <w:keepNext w:val="0"/>
        <w:keepLines w:val="0"/>
        <w:widowControl/>
        <w:suppressLineNumbers w:val="0"/>
        <w:spacing w:before="0" w:beforeAutospacing="0" w:after="225" w:afterAutospacing="0" w:line="560" w:lineRule="atLeast"/>
        <w:ind w:left="0" w:right="0" w:firstLine="645"/>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（一）项目实施存在的问题</w:t>
      </w:r>
    </w:p>
    <w:p>
      <w:pPr>
        <w:keepNext w:val="0"/>
        <w:keepLines w:val="0"/>
        <w:widowControl/>
        <w:suppressLineNumbers w:val="0"/>
        <w:spacing w:before="0" w:beforeAutospacing="0" w:after="225" w:afterAutospacing="0" w:line="560" w:lineRule="atLeast"/>
        <w:ind w:left="0" w:right="0" w:firstLine="645"/>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本项目实施过程中，资金足额下拨、资金到位及时，实施过程中不存在问题。</w:t>
      </w:r>
    </w:p>
    <w:p>
      <w:pPr>
        <w:keepNext w:val="0"/>
        <w:keepLines w:val="0"/>
        <w:widowControl/>
        <w:suppressLineNumbers w:val="0"/>
        <w:spacing w:before="0" w:beforeAutospacing="0" w:after="225" w:afterAutospacing="0" w:line="560" w:lineRule="atLeast"/>
        <w:ind w:left="0" w:right="0" w:firstLine="63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（二）财政支出存在的问题</w:t>
      </w:r>
    </w:p>
    <w:p>
      <w:pPr>
        <w:keepNext w:val="0"/>
        <w:keepLines w:val="0"/>
        <w:widowControl/>
        <w:suppressLineNumbers w:val="0"/>
        <w:spacing w:before="0" w:beforeAutospacing="0" w:after="225" w:afterAutospacing="0" w:line="5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本项目严格审核控制资金支出，确保资金专款专用，做到资金支出与项目实际进度同步，财政支出不存在问题。</w:t>
      </w:r>
    </w:p>
    <w:p>
      <w:pPr>
        <w:keepNext w:val="0"/>
        <w:keepLines w:val="0"/>
        <w:widowControl/>
        <w:suppressLineNumbers w:val="0"/>
        <w:spacing w:before="0" w:beforeAutospacing="0" w:after="225" w:afterAutospacing="0" w:line="560" w:lineRule="atLeast"/>
        <w:ind w:left="0" w:right="0" w:firstLine="632"/>
        <w:jc w:val="left"/>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kern w:val="0"/>
          <w:sz w:val="28"/>
          <w:szCs w:val="28"/>
          <w:lang w:val="en-US" w:eastAsia="zh-CN" w:bidi="ar"/>
        </w:rPr>
        <w:t>（三）支出政策制定方面存在的问题</w:t>
      </w:r>
    </w:p>
    <w:p>
      <w:pPr>
        <w:keepNext w:val="0"/>
        <w:keepLines w:val="0"/>
        <w:widowControl/>
        <w:suppressLineNumbers w:val="0"/>
        <w:spacing w:before="0" w:beforeAutospacing="0" w:after="225" w:afterAutospacing="0" w:line="5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本项目支出严格按照相关政策执行，支出合法合规，支出政策制定方面不存在问题。</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四、相关建议</w:t>
      </w:r>
    </w:p>
    <w:p>
      <w:pPr>
        <w:keepNext w:val="0"/>
        <w:keepLines w:val="0"/>
        <w:widowControl/>
        <w:suppressLineNumbers w:val="0"/>
        <w:spacing w:before="0" w:beforeAutospacing="0" w:after="225" w:afterAutospacing="0" w:line="560" w:lineRule="atLeast"/>
        <w:ind w:left="0" w:right="0" w:firstLine="63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按财政资金管理的有关规定合理编制项目预算，设定绩效目标。根据设定的绩效目标进一步完善修改绩效指标，确保各类指标清晰。</w:t>
      </w:r>
    </w:p>
    <w:p>
      <w:pPr>
        <w:pStyle w:val="6"/>
        <w:keepNext w:val="0"/>
        <w:keepLines w:val="0"/>
        <w:widowControl/>
        <w:suppressLineNumbers w:val="0"/>
        <w:spacing w:before="0" w:beforeAutospacing="0" w:after="225" w:afterAutospacing="0" w:line="560" w:lineRule="atLeast"/>
        <w:ind w:left="0" w:right="0" w:firstLine="562"/>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8"/>
          <w:szCs w:val="28"/>
        </w:rPr>
        <w:t>五、下一步工作计划</w:t>
      </w:r>
    </w:p>
    <w:p>
      <w:pPr>
        <w:keepNext w:val="0"/>
        <w:keepLines w:val="0"/>
        <w:widowControl/>
        <w:suppressLineNumbers w:val="0"/>
        <w:spacing w:before="0" w:beforeAutospacing="0" w:after="225" w:afterAutospacing="0" w:line="560" w:lineRule="atLeast"/>
        <w:ind w:left="0" w:right="0" w:firstLine="56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kern w:val="0"/>
          <w:sz w:val="28"/>
          <w:szCs w:val="28"/>
          <w:lang w:val="en-US" w:eastAsia="zh-CN" w:bidi="ar"/>
        </w:rPr>
        <w:t>1、加强义务兵优待各项政策宣传力度，继续推进优抚工作人员能力建设，树立强烈的责任心和事业感，切实履职尽责提升服务保障能力。</w:t>
      </w:r>
    </w:p>
    <w:p>
      <w:pPr>
        <w:keepNext w:val="0"/>
        <w:keepLines w:val="0"/>
        <w:widowControl/>
        <w:suppressLineNumbers w:val="0"/>
        <w:spacing w:before="0" w:beforeAutospacing="0" w:after="225" w:afterAutospacing="0" w:line="560" w:lineRule="atLeast"/>
        <w:ind w:left="0" w:right="0" w:firstLine="560"/>
        <w:jc w:val="left"/>
        <w:rPr>
          <w:rFonts w:ascii="宋体" w:hAnsi="宋体"/>
          <w:kern w:val="44"/>
          <w:sz w:val="28"/>
          <w:szCs w:val="28"/>
        </w:rPr>
      </w:pPr>
      <w:r>
        <w:rPr>
          <w:rFonts w:hint="eastAsia" w:ascii="宋体" w:hAnsi="宋体" w:eastAsia="宋体" w:cs="宋体"/>
          <w:i w:val="0"/>
          <w:iCs w:val="0"/>
          <w:caps w:val="0"/>
          <w:color w:val="000000"/>
          <w:spacing w:val="0"/>
          <w:kern w:val="0"/>
          <w:sz w:val="28"/>
          <w:szCs w:val="28"/>
          <w:lang w:val="en-US" w:eastAsia="zh-CN" w:bidi="ar"/>
        </w:rPr>
        <w:t>2、加强监督管理，保证义务兵优待金及应征入伍奖励金及时、准确、足额发放，实现多部门的联动协作，加强优待资金管理。随时跟进优抚对象动态并及时上报，定期对优待资金发放情况进行督查</w:t>
      </w:r>
      <w:bookmarkStart w:id="0" w:name="_GoBack"/>
      <w:bookmarkEnd w:id="0"/>
      <w:r>
        <w:rPr>
          <w:rFonts w:hint="eastAsia" w:ascii="宋体" w:hAnsi="宋体"/>
          <w:kern w:val="44"/>
          <w:sz w:val="28"/>
          <w:szCs w:val="28"/>
        </w:rPr>
        <w:t>。</w:t>
      </w: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ascii="仿宋_GB2312" w:eastAsia="仿宋_GB2312"/>
        <w:sz w:val="28"/>
        <w:szCs w:val="28"/>
      </w:rPr>
    </w:pPr>
    <w:r>
      <w:rPr>
        <w:rStyle w:val="10"/>
        <w:rFonts w:hint="eastAsia" w:ascii="仿宋_GB2312" w:eastAsia="仿宋_GB2312"/>
        <w:sz w:val="28"/>
        <w:szCs w:val="28"/>
      </w:rPr>
      <w:fldChar w:fldCharType="begin"/>
    </w:r>
    <w:r>
      <w:rPr>
        <w:rStyle w:val="10"/>
        <w:rFonts w:hint="eastAsia" w:ascii="仿宋_GB2312" w:eastAsia="仿宋_GB2312"/>
        <w:sz w:val="28"/>
        <w:szCs w:val="28"/>
      </w:rPr>
      <w:instrText xml:space="preserve">PAGE  </w:instrText>
    </w:r>
    <w:r>
      <w:rPr>
        <w:rStyle w:val="10"/>
        <w:rFonts w:hint="eastAsia" w:ascii="仿宋_GB2312" w:eastAsia="仿宋_GB2312"/>
        <w:sz w:val="28"/>
        <w:szCs w:val="28"/>
      </w:rPr>
      <w:fldChar w:fldCharType="separate"/>
    </w:r>
    <w:r>
      <w:rPr>
        <w:rStyle w:val="10"/>
        <w:rFonts w:ascii="仿宋_GB2312" w:eastAsia="仿宋_GB2312"/>
        <w:sz w:val="28"/>
        <w:szCs w:val="28"/>
      </w:rPr>
      <w:t>- 6 -</w:t>
    </w:r>
    <w:r>
      <w:rPr>
        <w:rStyle w:val="10"/>
        <w:rFonts w:hint="eastAsia" w:ascii="仿宋_GB2312" w:eastAsia="仿宋_GB2312"/>
        <w:sz w:val="28"/>
        <w:szCs w:val="28"/>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435"/>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0A68"/>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07D"/>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5C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6F65"/>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1527"/>
    <w:rsid w:val="001A3572"/>
    <w:rsid w:val="001A3F7F"/>
    <w:rsid w:val="001A4E57"/>
    <w:rsid w:val="001A54B5"/>
    <w:rsid w:val="001A5D60"/>
    <w:rsid w:val="001A68AA"/>
    <w:rsid w:val="001B18C7"/>
    <w:rsid w:val="001B1A9C"/>
    <w:rsid w:val="001B2984"/>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4DD7"/>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5CE"/>
    <w:rsid w:val="002307B3"/>
    <w:rsid w:val="00231164"/>
    <w:rsid w:val="002322A0"/>
    <w:rsid w:val="00233C00"/>
    <w:rsid w:val="00233C18"/>
    <w:rsid w:val="002346DE"/>
    <w:rsid w:val="002349C8"/>
    <w:rsid w:val="002352A5"/>
    <w:rsid w:val="00236144"/>
    <w:rsid w:val="002376F1"/>
    <w:rsid w:val="002377AF"/>
    <w:rsid w:val="00237B87"/>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1DB2"/>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34A"/>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C7C5B"/>
    <w:rsid w:val="002D0911"/>
    <w:rsid w:val="002D2455"/>
    <w:rsid w:val="002D3603"/>
    <w:rsid w:val="002D3696"/>
    <w:rsid w:val="002D3BA9"/>
    <w:rsid w:val="002D3D1C"/>
    <w:rsid w:val="002D4279"/>
    <w:rsid w:val="002D5CB2"/>
    <w:rsid w:val="002D6237"/>
    <w:rsid w:val="002D68AE"/>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2F72B1"/>
    <w:rsid w:val="00301950"/>
    <w:rsid w:val="003033AB"/>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ECC"/>
    <w:rsid w:val="00366579"/>
    <w:rsid w:val="003666EA"/>
    <w:rsid w:val="00366CD0"/>
    <w:rsid w:val="00366FF2"/>
    <w:rsid w:val="003708B7"/>
    <w:rsid w:val="00370A42"/>
    <w:rsid w:val="00372334"/>
    <w:rsid w:val="00372763"/>
    <w:rsid w:val="00373421"/>
    <w:rsid w:val="0037382D"/>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34A"/>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1A64"/>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790A"/>
    <w:rsid w:val="00447E10"/>
    <w:rsid w:val="00450904"/>
    <w:rsid w:val="00450BCE"/>
    <w:rsid w:val="00450CD2"/>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3441"/>
    <w:rsid w:val="00534330"/>
    <w:rsid w:val="005352CE"/>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4D5"/>
    <w:rsid w:val="00566105"/>
    <w:rsid w:val="0057166F"/>
    <w:rsid w:val="00571778"/>
    <w:rsid w:val="00572225"/>
    <w:rsid w:val="00572514"/>
    <w:rsid w:val="0057364B"/>
    <w:rsid w:val="0057365D"/>
    <w:rsid w:val="005736DA"/>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1B0"/>
    <w:rsid w:val="0063274E"/>
    <w:rsid w:val="00633419"/>
    <w:rsid w:val="006334B1"/>
    <w:rsid w:val="0063384D"/>
    <w:rsid w:val="006355A9"/>
    <w:rsid w:val="00635776"/>
    <w:rsid w:val="00635E69"/>
    <w:rsid w:val="00636AE3"/>
    <w:rsid w:val="006410F1"/>
    <w:rsid w:val="0064155B"/>
    <w:rsid w:val="00641695"/>
    <w:rsid w:val="00641C1E"/>
    <w:rsid w:val="00641C6F"/>
    <w:rsid w:val="00642D24"/>
    <w:rsid w:val="00642F92"/>
    <w:rsid w:val="00643954"/>
    <w:rsid w:val="00643AA5"/>
    <w:rsid w:val="0064413B"/>
    <w:rsid w:val="00644E4D"/>
    <w:rsid w:val="0064558E"/>
    <w:rsid w:val="00645D3F"/>
    <w:rsid w:val="00645DEF"/>
    <w:rsid w:val="00646125"/>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CE8"/>
    <w:rsid w:val="006973AC"/>
    <w:rsid w:val="006A03C4"/>
    <w:rsid w:val="006A1F3B"/>
    <w:rsid w:val="006A45B8"/>
    <w:rsid w:val="006A4939"/>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515"/>
    <w:rsid w:val="006C2BFE"/>
    <w:rsid w:val="006C2C09"/>
    <w:rsid w:val="006C2CDC"/>
    <w:rsid w:val="006C2F87"/>
    <w:rsid w:val="006C5134"/>
    <w:rsid w:val="006C5169"/>
    <w:rsid w:val="006C59EC"/>
    <w:rsid w:val="006C5AE1"/>
    <w:rsid w:val="006C6469"/>
    <w:rsid w:val="006C6E9F"/>
    <w:rsid w:val="006C790E"/>
    <w:rsid w:val="006D2200"/>
    <w:rsid w:val="006D27A3"/>
    <w:rsid w:val="006D2C15"/>
    <w:rsid w:val="006D2E46"/>
    <w:rsid w:val="006D3C34"/>
    <w:rsid w:val="006D49DC"/>
    <w:rsid w:val="006D5C9E"/>
    <w:rsid w:val="006D66E2"/>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545"/>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C31"/>
    <w:rsid w:val="007A0DEA"/>
    <w:rsid w:val="007A1DD3"/>
    <w:rsid w:val="007A2AD2"/>
    <w:rsid w:val="007A4B51"/>
    <w:rsid w:val="007A50C9"/>
    <w:rsid w:val="007A52E0"/>
    <w:rsid w:val="007A5E15"/>
    <w:rsid w:val="007A612A"/>
    <w:rsid w:val="007A617B"/>
    <w:rsid w:val="007A7568"/>
    <w:rsid w:val="007A7F86"/>
    <w:rsid w:val="007B1467"/>
    <w:rsid w:val="007B146D"/>
    <w:rsid w:val="007B1982"/>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6A9"/>
    <w:rsid w:val="007C3DE9"/>
    <w:rsid w:val="007C429E"/>
    <w:rsid w:val="007C4C48"/>
    <w:rsid w:val="007C4D3D"/>
    <w:rsid w:val="007C5493"/>
    <w:rsid w:val="007C581E"/>
    <w:rsid w:val="007C5982"/>
    <w:rsid w:val="007C60AA"/>
    <w:rsid w:val="007C77BD"/>
    <w:rsid w:val="007D0252"/>
    <w:rsid w:val="007D0C49"/>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64F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47CA"/>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D56"/>
    <w:rsid w:val="008F3D4F"/>
    <w:rsid w:val="008F4043"/>
    <w:rsid w:val="008F435C"/>
    <w:rsid w:val="008F5543"/>
    <w:rsid w:val="008F6439"/>
    <w:rsid w:val="008F7143"/>
    <w:rsid w:val="008F74C1"/>
    <w:rsid w:val="008F7EE1"/>
    <w:rsid w:val="009001BA"/>
    <w:rsid w:val="00900D50"/>
    <w:rsid w:val="009018F0"/>
    <w:rsid w:val="0090206E"/>
    <w:rsid w:val="009041DC"/>
    <w:rsid w:val="00905694"/>
    <w:rsid w:val="00905EE3"/>
    <w:rsid w:val="00905EE9"/>
    <w:rsid w:val="00906172"/>
    <w:rsid w:val="00907A2A"/>
    <w:rsid w:val="00907F1D"/>
    <w:rsid w:val="00907F4B"/>
    <w:rsid w:val="0091031E"/>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7BF"/>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21DA"/>
    <w:rsid w:val="00943165"/>
    <w:rsid w:val="00943E59"/>
    <w:rsid w:val="0094413F"/>
    <w:rsid w:val="0094531B"/>
    <w:rsid w:val="009459B2"/>
    <w:rsid w:val="009468A5"/>
    <w:rsid w:val="00947934"/>
    <w:rsid w:val="00947A2F"/>
    <w:rsid w:val="009511A2"/>
    <w:rsid w:val="0095207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0F3D"/>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EA0"/>
    <w:rsid w:val="009C0733"/>
    <w:rsid w:val="009C0785"/>
    <w:rsid w:val="009C0FFF"/>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423"/>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55B"/>
    <w:rsid w:val="00A369CB"/>
    <w:rsid w:val="00A3705F"/>
    <w:rsid w:val="00A41070"/>
    <w:rsid w:val="00A412B0"/>
    <w:rsid w:val="00A42C1F"/>
    <w:rsid w:val="00A43375"/>
    <w:rsid w:val="00A439D8"/>
    <w:rsid w:val="00A43ACE"/>
    <w:rsid w:val="00A43CA5"/>
    <w:rsid w:val="00A44248"/>
    <w:rsid w:val="00A453DF"/>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4CB"/>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30DB"/>
    <w:rsid w:val="00AD3832"/>
    <w:rsid w:val="00AD3AD9"/>
    <w:rsid w:val="00AD3C82"/>
    <w:rsid w:val="00AD6098"/>
    <w:rsid w:val="00AD7C6A"/>
    <w:rsid w:val="00AE00D8"/>
    <w:rsid w:val="00AE017B"/>
    <w:rsid w:val="00AE0488"/>
    <w:rsid w:val="00AE0811"/>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0AB4"/>
    <w:rsid w:val="00B91495"/>
    <w:rsid w:val="00B91498"/>
    <w:rsid w:val="00B91F8A"/>
    <w:rsid w:val="00B9244E"/>
    <w:rsid w:val="00B9293E"/>
    <w:rsid w:val="00B93855"/>
    <w:rsid w:val="00B93F18"/>
    <w:rsid w:val="00B945F5"/>
    <w:rsid w:val="00B94C13"/>
    <w:rsid w:val="00B958AD"/>
    <w:rsid w:val="00B95BB0"/>
    <w:rsid w:val="00B95DDC"/>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0E15"/>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5228"/>
    <w:rsid w:val="00C5796F"/>
    <w:rsid w:val="00C57F3E"/>
    <w:rsid w:val="00C60707"/>
    <w:rsid w:val="00C60A43"/>
    <w:rsid w:val="00C60F5A"/>
    <w:rsid w:val="00C61AE4"/>
    <w:rsid w:val="00C645EE"/>
    <w:rsid w:val="00C652AF"/>
    <w:rsid w:val="00C6556C"/>
    <w:rsid w:val="00C67746"/>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5A6A"/>
    <w:rsid w:val="00CA5E72"/>
    <w:rsid w:val="00CA681F"/>
    <w:rsid w:val="00CA6924"/>
    <w:rsid w:val="00CA6F96"/>
    <w:rsid w:val="00CB1B0A"/>
    <w:rsid w:val="00CB2388"/>
    <w:rsid w:val="00CB25E3"/>
    <w:rsid w:val="00CB2923"/>
    <w:rsid w:val="00CB2C0E"/>
    <w:rsid w:val="00CB489B"/>
    <w:rsid w:val="00CB6474"/>
    <w:rsid w:val="00CB666F"/>
    <w:rsid w:val="00CB70DD"/>
    <w:rsid w:val="00CB7452"/>
    <w:rsid w:val="00CB79F8"/>
    <w:rsid w:val="00CB7AD6"/>
    <w:rsid w:val="00CC0CC1"/>
    <w:rsid w:val="00CC1F98"/>
    <w:rsid w:val="00CC2D18"/>
    <w:rsid w:val="00CC3DF0"/>
    <w:rsid w:val="00CC5152"/>
    <w:rsid w:val="00CD0D67"/>
    <w:rsid w:val="00CD1929"/>
    <w:rsid w:val="00CD1A47"/>
    <w:rsid w:val="00CD1E15"/>
    <w:rsid w:val="00CD291E"/>
    <w:rsid w:val="00CD2F0C"/>
    <w:rsid w:val="00CD313F"/>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5FAC"/>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AED"/>
    <w:rsid w:val="00D6059A"/>
    <w:rsid w:val="00D61BF9"/>
    <w:rsid w:val="00D624D3"/>
    <w:rsid w:val="00D62FB5"/>
    <w:rsid w:val="00D63765"/>
    <w:rsid w:val="00D64825"/>
    <w:rsid w:val="00D64B29"/>
    <w:rsid w:val="00D64D64"/>
    <w:rsid w:val="00D650C5"/>
    <w:rsid w:val="00D656A9"/>
    <w:rsid w:val="00D66931"/>
    <w:rsid w:val="00D70454"/>
    <w:rsid w:val="00D70D35"/>
    <w:rsid w:val="00D711C3"/>
    <w:rsid w:val="00D711F0"/>
    <w:rsid w:val="00D722EF"/>
    <w:rsid w:val="00D75F81"/>
    <w:rsid w:val="00D77AD1"/>
    <w:rsid w:val="00D80149"/>
    <w:rsid w:val="00D804D9"/>
    <w:rsid w:val="00D80661"/>
    <w:rsid w:val="00D80684"/>
    <w:rsid w:val="00D809F1"/>
    <w:rsid w:val="00D83856"/>
    <w:rsid w:val="00D83BA0"/>
    <w:rsid w:val="00D8470F"/>
    <w:rsid w:val="00D85E86"/>
    <w:rsid w:val="00D90DFD"/>
    <w:rsid w:val="00D90E1A"/>
    <w:rsid w:val="00D90F2B"/>
    <w:rsid w:val="00D9106E"/>
    <w:rsid w:val="00D93D53"/>
    <w:rsid w:val="00D95246"/>
    <w:rsid w:val="00D956A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6AB"/>
    <w:rsid w:val="00DC0E36"/>
    <w:rsid w:val="00DC281B"/>
    <w:rsid w:val="00DC2C86"/>
    <w:rsid w:val="00DC2FA7"/>
    <w:rsid w:val="00DC4F7A"/>
    <w:rsid w:val="00DC5AD5"/>
    <w:rsid w:val="00DC7014"/>
    <w:rsid w:val="00DC7148"/>
    <w:rsid w:val="00DD1815"/>
    <w:rsid w:val="00DD1951"/>
    <w:rsid w:val="00DD1A45"/>
    <w:rsid w:val="00DD3711"/>
    <w:rsid w:val="00DD4570"/>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7AC"/>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7183E"/>
    <w:rsid w:val="00E71FF9"/>
    <w:rsid w:val="00E7234C"/>
    <w:rsid w:val="00E72E27"/>
    <w:rsid w:val="00E72FBE"/>
    <w:rsid w:val="00E7353C"/>
    <w:rsid w:val="00E74605"/>
    <w:rsid w:val="00E746A9"/>
    <w:rsid w:val="00E758C8"/>
    <w:rsid w:val="00E75DEE"/>
    <w:rsid w:val="00E768C2"/>
    <w:rsid w:val="00E76933"/>
    <w:rsid w:val="00E76EC1"/>
    <w:rsid w:val="00E77BCC"/>
    <w:rsid w:val="00E8099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4A5"/>
    <w:rsid w:val="00EF4568"/>
    <w:rsid w:val="00EF61EF"/>
    <w:rsid w:val="00F00424"/>
    <w:rsid w:val="00F009AA"/>
    <w:rsid w:val="00F00BC9"/>
    <w:rsid w:val="00F01263"/>
    <w:rsid w:val="00F017DE"/>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32E4"/>
    <w:rsid w:val="00F243D2"/>
    <w:rsid w:val="00F246A6"/>
    <w:rsid w:val="00F249E8"/>
    <w:rsid w:val="00F25D8C"/>
    <w:rsid w:val="00F270B7"/>
    <w:rsid w:val="00F2727E"/>
    <w:rsid w:val="00F27B56"/>
    <w:rsid w:val="00F30F83"/>
    <w:rsid w:val="00F31B9B"/>
    <w:rsid w:val="00F324C7"/>
    <w:rsid w:val="00F33661"/>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BF"/>
    <w:rsid w:val="00F87524"/>
    <w:rsid w:val="00F9152F"/>
    <w:rsid w:val="00F915AE"/>
    <w:rsid w:val="00F91CD1"/>
    <w:rsid w:val="00F93632"/>
    <w:rsid w:val="00F93A3E"/>
    <w:rsid w:val="00F93FB6"/>
    <w:rsid w:val="00F9619C"/>
    <w:rsid w:val="00F9765D"/>
    <w:rsid w:val="00F978C3"/>
    <w:rsid w:val="00FA00D0"/>
    <w:rsid w:val="00FA024E"/>
    <w:rsid w:val="00FA19D7"/>
    <w:rsid w:val="00FA1FF3"/>
    <w:rsid w:val="00FA2052"/>
    <w:rsid w:val="00FA326D"/>
    <w:rsid w:val="00FA447F"/>
    <w:rsid w:val="00FA4C8A"/>
    <w:rsid w:val="00FA601F"/>
    <w:rsid w:val="00FA6B4B"/>
    <w:rsid w:val="00FA71C3"/>
    <w:rsid w:val="00FB0335"/>
    <w:rsid w:val="00FB0AFE"/>
    <w:rsid w:val="00FB1500"/>
    <w:rsid w:val="00FB44FB"/>
    <w:rsid w:val="00FB528A"/>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75457B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0"/>
    <w:pPr>
      <w:keepNext/>
      <w:keepLines/>
      <w:spacing w:line="360" w:lineRule="auto"/>
      <w:outlineLvl w:val="0"/>
    </w:pPr>
    <w:rPr>
      <w:rFonts w:ascii="仿宋_GB2312" w:eastAsia="仿宋_GB2312"/>
      <w:bCs/>
      <w:snapToGrid w:val="0"/>
      <w:kern w:val="0"/>
      <w:szCs w:val="21"/>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3"/>
    <w:qFormat/>
    <w:uiPriority w:val="0"/>
    <w:pPr>
      <w:ind w:firstLine="200" w:firstLineChars="200"/>
      <w:jc w:val="left"/>
      <w:outlineLvl w:val="2"/>
    </w:pPr>
    <w:rPr>
      <w:rFonts w:ascii="Cambria" w:hAnsi="Cambria" w:eastAsia="黑体"/>
      <w:bCs/>
      <w:kern w:val="28"/>
      <w:sz w:val="28"/>
      <w:szCs w:val="32"/>
    </w:rPr>
  </w:style>
  <w:style w:type="paragraph" w:styleId="6">
    <w:name w:val="Normal (Web)"/>
    <w:basedOn w:val="1"/>
    <w:semiHidden/>
    <w:unhideWhenUsed/>
    <w:uiPriority w:val="99"/>
    <w:rPr>
      <w:sz w:val="24"/>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uiPriority w:val="0"/>
  </w:style>
  <w:style w:type="character" w:customStyle="1" w:styleId="11">
    <w:name w:val="标题 1 字符"/>
    <w:basedOn w:val="9"/>
    <w:link w:val="2"/>
    <w:uiPriority w:val="0"/>
    <w:rPr>
      <w:rFonts w:ascii="仿宋_GB2312" w:hAnsi="Times New Roman" w:eastAsia="仿宋_GB2312" w:cs="Times New Roman"/>
      <w:bCs/>
      <w:snapToGrid w:val="0"/>
      <w:kern w:val="0"/>
      <w:szCs w:val="21"/>
    </w:rPr>
  </w:style>
  <w:style w:type="character" w:customStyle="1" w:styleId="12">
    <w:name w:val="页脚 字符"/>
    <w:basedOn w:val="9"/>
    <w:link w:val="3"/>
    <w:uiPriority w:val="99"/>
    <w:rPr>
      <w:rFonts w:ascii="Times New Roman" w:hAnsi="Times New Roman" w:eastAsia="宋体" w:cs="Times New Roman"/>
      <w:sz w:val="18"/>
      <w:szCs w:val="18"/>
    </w:rPr>
  </w:style>
  <w:style w:type="character" w:customStyle="1" w:styleId="13">
    <w:name w:val="副标题 字符"/>
    <w:basedOn w:val="9"/>
    <w:link w:val="5"/>
    <w:uiPriority w:val="0"/>
    <w:rPr>
      <w:rFonts w:ascii="Cambria" w:hAnsi="Cambria" w:eastAsia="黑体" w:cs="Times New Roman"/>
      <w:bCs/>
      <w:kern w:val="28"/>
      <w:sz w:val="28"/>
      <w:szCs w:val="32"/>
    </w:rPr>
  </w:style>
  <w:style w:type="character" w:customStyle="1" w:styleId="14">
    <w:name w:val="页眉 字符"/>
    <w:basedOn w:val="9"/>
    <w:link w:val="4"/>
    <w:uiPriority w:val="99"/>
    <w:rPr>
      <w:rFonts w:ascii="Times New Roman" w:hAnsi="Times New Roman" w:eastAsia="宋体" w:cs="Times New Roman"/>
      <w:sz w:val="18"/>
      <w:szCs w:val="18"/>
    </w:rPr>
  </w:style>
  <w:style w:type="paragraph" w:styleId="1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5</Pages>
  <Words>408</Words>
  <Characters>2328</Characters>
  <Lines>19</Lines>
  <Paragraphs>5</Paragraphs>
  <TotalTime>462</TotalTime>
  <ScaleCrop>false</ScaleCrop>
  <LinksUpToDate>false</LinksUpToDate>
  <CharactersWithSpaces>2731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2023-11-22T06:07:00Z</cp:lastPrinted>
  <dcterms:modified xsi:type="dcterms:W3CDTF">2024-04-22T01:41:35Z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11820395DC7B4E259C557A10B3712756</vt:lpwstr>
  </property>
</Properties>
</file>